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877" w:right="1952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项目名称：与美国华盛本大学合作项目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57" w:firstLine="480"/>
      </w:pPr>
      <w:r>
        <w:rPr/>
        <w:t>本项目是与华盛本大学合作开展访问生项目，每年选派 </w:t>
      </w:r>
      <w:r>
        <w:rPr>
          <w:rFonts w:ascii="Times New Roman" w:eastAsia="Times New Roman"/>
        </w:rPr>
        <w:t>4-5 </w:t>
      </w:r>
      <w:r>
        <w:rPr/>
        <w:t>名学生赴该校交流学习。学生修读本专业相关课程，获得该校学分，如符合我校相关管理规定， 可予以学分认定。</w:t>
      </w:r>
    </w:p>
    <w:p>
      <w:pPr>
        <w:pStyle w:val="BodyText"/>
        <w:spacing w:line="242" w:lineRule="auto" w:before="4"/>
        <w:ind w:left="120" w:right="197" w:firstLine="480"/>
        <w:jc w:val="both"/>
      </w:pPr>
      <w:r>
        <w:rPr>
          <w:spacing w:val="-7"/>
        </w:rPr>
        <w:t>华盛本大学</w:t>
      </w:r>
      <w:r>
        <w:rPr>
          <w:spacing w:val="-3"/>
        </w:rPr>
        <w:t>（</w:t>
      </w:r>
      <w:r>
        <w:rPr>
          <w:rFonts w:ascii="Times New Roman" w:eastAsia="Times New Roman"/>
          <w:spacing w:val="-3"/>
        </w:rPr>
        <w:t>Washburn </w:t>
      </w:r>
      <w:r>
        <w:rPr>
          <w:rFonts w:ascii="Times New Roman" w:eastAsia="Times New Roman"/>
          <w:spacing w:val="-4"/>
        </w:rPr>
        <w:t>University</w:t>
      </w:r>
      <w:r>
        <w:rPr>
          <w:spacing w:val="-4"/>
        </w:rPr>
        <w:t>）</w:t>
      </w:r>
      <w:r>
        <w:rPr>
          <w:spacing w:val="-19"/>
        </w:rPr>
        <w:t>建于 </w:t>
      </w:r>
      <w:r>
        <w:rPr>
          <w:rFonts w:ascii="Times New Roman" w:eastAsia="Times New Roman"/>
        </w:rPr>
        <w:t>1865 </w:t>
      </w:r>
      <w:r>
        <w:rPr>
          <w:spacing w:val="-7"/>
        </w:rPr>
        <w:t>年，位于美国中部堪萨斯州府</w:t>
      </w:r>
      <w:r>
        <w:rPr>
          <w:spacing w:val="-6"/>
        </w:rPr>
        <w:t>特碧卡市，校园占地 </w:t>
      </w:r>
      <w:r>
        <w:rPr>
          <w:rFonts w:ascii="Times New Roman" w:eastAsia="Times New Roman"/>
        </w:rPr>
        <w:t>160 </w:t>
      </w:r>
      <w:r>
        <w:rPr>
          <w:spacing w:val="-7"/>
        </w:rPr>
        <w:t>英亩，现有学生约 </w:t>
      </w:r>
      <w:r>
        <w:rPr>
          <w:rFonts w:ascii="Times New Roman" w:eastAsia="Times New Roman"/>
        </w:rPr>
        <w:t>7,000 </w:t>
      </w:r>
      <w:r>
        <w:rPr>
          <w:spacing w:val="-7"/>
        </w:rPr>
        <w:t>人，其中包括来自 </w:t>
      </w:r>
      <w:r>
        <w:rPr>
          <w:rFonts w:ascii="Times New Roman" w:eastAsia="Times New Roman"/>
        </w:rPr>
        <w:t>30 </w:t>
      </w:r>
      <w:r>
        <w:rPr/>
        <w:t>多个国</w:t>
      </w:r>
      <w:r>
        <w:rPr>
          <w:spacing w:val="-15"/>
        </w:rPr>
        <w:t>家的近 </w:t>
      </w:r>
      <w:r>
        <w:rPr>
          <w:rFonts w:ascii="Times New Roman" w:eastAsia="Times New Roman"/>
        </w:rPr>
        <w:t>300 </w:t>
      </w:r>
      <w:r>
        <w:rPr>
          <w:spacing w:val="-15"/>
        </w:rPr>
        <w:t>名留学生。华盛本是一所教学型公立综合性大学，下设文理学院、 法</w:t>
      </w:r>
      <w:r>
        <w:rPr>
          <w:spacing w:val="-11"/>
        </w:rPr>
        <w:t>学院、商学院、护理学院，应用学院和技术学院。其中商学院属全球商学院顶级</w:t>
      </w:r>
      <w:r>
        <w:rPr/>
        <w:t>协会</w:t>
      </w:r>
      <w:r>
        <w:rPr>
          <w:rFonts w:ascii="Times New Roman" w:eastAsia="Times New Roman"/>
        </w:rPr>
        <w:t>-AACSB </w:t>
      </w:r>
      <w:r>
        <w:rPr>
          <w:spacing w:val="-5"/>
        </w:rPr>
        <w:t>正式成员。该校以小班教学著称，师生比例为 </w:t>
      </w:r>
      <w:r>
        <w:rPr>
          <w:rFonts w:ascii="Times New Roman" w:eastAsia="Times New Roman"/>
        </w:rPr>
        <w:t>1</w:t>
      </w:r>
      <w:r>
        <w:rPr/>
        <w:t>：</w:t>
      </w:r>
      <w:r>
        <w:rPr>
          <w:rFonts w:ascii="Times New Roman" w:eastAsia="Times New Roman"/>
        </w:rPr>
        <w:t>18</w:t>
      </w:r>
      <w:r>
        <w:rPr>
          <w:spacing w:val="-4"/>
        </w:rPr>
        <w:t>。在《美国新</w:t>
      </w:r>
      <w:r>
        <w:rPr>
          <w:spacing w:val="-10"/>
        </w:rPr>
        <w:t>闻与世界报道》全美公立硕士类大学排行榜中，华盛本连年被列入美国中西区前</w:t>
      </w:r>
      <w:r>
        <w:rPr>
          <w:rFonts w:ascii="Times New Roman" w:eastAsia="Times New Roman"/>
        </w:rPr>
        <w:t>10 </w:t>
      </w:r>
      <w:r>
        <w:rPr/>
        <w:t>名</w:t>
      </w:r>
      <w:r>
        <w:rPr>
          <w:rFonts w:ascii="Times New Roman" w:eastAsia="Times New Roman"/>
        </w:rPr>
        <w:t>, </w:t>
      </w:r>
      <w:r>
        <w:rPr>
          <w:spacing w:val="-15"/>
        </w:rPr>
        <w:t>全美前 </w:t>
      </w:r>
      <w:r>
        <w:rPr>
          <w:rFonts w:ascii="Times New Roman" w:eastAsia="Times New Roman"/>
        </w:rPr>
        <w:t>40 </w:t>
      </w:r>
      <w:r>
        <w:rPr/>
        <w:t>名内。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本科生与研究生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320" w:right="197" w:hanging="1200"/>
        <w:jc w:val="both"/>
        <w:rPr>
          <w:rFonts w:ascii="Times New Roman" w:eastAsia="Times New Roman"/>
        </w:rPr>
      </w:pPr>
      <w:r>
        <w:rPr>
          <w:b/>
          <w:spacing w:val="-7"/>
        </w:rPr>
        <w:t>语言要求：</w:t>
      </w:r>
      <w:r>
        <w:rPr>
          <w:spacing w:val="-6"/>
        </w:rPr>
        <w:t>具有良好的英语能力，有托福或雅思成绩者优先</w:t>
      </w:r>
      <w:r>
        <w:rPr/>
        <w:t>（</w:t>
      </w:r>
      <w:r>
        <w:rPr>
          <w:spacing w:val="-2"/>
        </w:rPr>
        <w:t>如无任何英语等级</w:t>
      </w:r>
      <w:r>
        <w:rPr/>
        <w:t>证书，需通过华盛本大学的英语测试</w:t>
      </w:r>
      <w:r>
        <w:rPr>
          <w:spacing w:val="-120"/>
        </w:rPr>
        <w:t>）</w:t>
      </w:r>
      <w:r>
        <w:rPr/>
        <w:t>；申请生物、化学或研究生专</w:t>
      </w:r>
      <w:r>
        <w:rPr>
          <w:spacing w:val="-9"/>
        </w:rPr>
        <w:t>业需达到托福 </w:t>
      </w:r>
      <w:r>
        <w:rPr>
          <w:rFonts w:ascii="Times New Roman" w:eastAsia="Times New Roman"/>
        </w:rPr>
        <w:t>82 </w:t>
      </w:r>
      <w:r>
        <w:rPr>
          <w:spacing w:val="-15"/>
        </w:rPr>
        <w:t>或雅思 </w:t>
      </w:r>
      <w:r>
        <w:rPr>
          <w:rFonts w:ascii="Times New Roman" w:eastAsia="Times New Roman"/>
        </w:rPr>
        <w:t>6.5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 不低于 </w:t>
      </w:r>
      <w:r>
        <w:rPr>
          <w:rFonts w:ascii="Times New Roman" w:eastAsia="Times New Roman"/>
          <w:sz w:val="24"/>
        </w:rPr>
        <w:t>2.5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320" w:right="197" w:hanging="1200"/>
        <w:jc w:val="both"/>
      </w:pPr>
      <w:r>
        <w:rPr>
          <w:b/>
          <w:spacing w:val="5"/>
        </w:rPr>
        <w:t>费  用：</w:t>
      </w:r>
      <w:r>
        <w:rPr>
          <w:spacing w:val="-17"/>
        </w:rPr>
        <w:t>能负担留学期间的学费、杂费和生活费用。此项目需支付部分学费</w:t>
      </w:r>
      <w:r>
        <w:rPr/>
        <w:t>（</w:t>
      </w:r>
      <w:r>
        <w:rPr>
          <w:spacing w:val="-16"/>
        </w:rPr>
        <w:t>每</w:t>
      </w:r>
      <w:r>
        <w:rPr>
          <w:spacing w:val="-15"/>
        </w:rPr>
        <w:t>学期约 </w:t>
      </w:r>
      <w:r>
        <w:rPr>
          <w:rFonts w:ascii="Times New Roman" w:eastAsia="Times New Roman"/>
        </w:rPr>
        <w:t>6200 </w:t>
      </w:r>
      <w:r>
        <w:rPr/>
        <w:t>美元）</w:t>
      </w:r>
    </w:p>
    <w:p>
      <w:pPr>
        <w:pStyle w:val="BodyText"/>
        <w:spacing w:before="7"/>
      </w:pPr>
    </w:p>
    <w:p>
      <w:pPr>
        <w:pStyle w:val="Heading1"/>
        <w:spacing w:line="487" w:lineRule="auto"/>
        <w:ind w:right="6819"/>
        <w:rPr>
          <w:b w:val="0"/>
        </w:rPr>
      </w:pPr>
      <w:r>
        <w:rPr/>
        <w:t>是否有学分：</w:t>
      </w:r>
      <w:r>
        <w:rPr>
          <w:b w:val="0"/>
        </w:rPr>
        <w:t>是</w:t>
      </w:r>
      <w:r>
        <w:rPr/>
        <w:t>是否有学位：</w:t>
      </w:r>
      <w:r>
        <w:rPr>
          <w:b w:val="0"/>
        </w:rPr>
        <w:t>否</w:t>
      </w:r>
    </w:p>
    <w:p>
      <w:pPr>
        <w:pStyle w:val="BodyText"/>
        <w:spacing w:line="307" w:lineRule="exac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http://www.washburn.edu/iip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7"/>
        <w:rPr>
          <w:rFonts w:ascii="Times New Roman"/>
          <w:sz w:val="36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3"/>
        <w:ind w:left="0" w:right="19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22</w:t>
      </w:r>
    </w:p>
    <w:sectPr>
      <w:type w:val="continuous"/>
      <w:pgSz w:w="11910" w:h="16840"/>
      <w:pgMar w:top="152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ashburn.edu/ii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2021-09-26T06:51:52Z</dcterms:created>
  <dcterms:modified xsi:type="dcterms:W3CDTF">2021-09-26T06:51:52Z</dcterms:modified>
</cp:coreProperties>
</file>